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ter" w:cs="Inter" w:eastAsia="Inter" w:hAnsi="Inter"/>
          <w:i w:val="1"/>
          <w:sz w:val="23"/>
          <w:szCs w:val="23"/>
        </w:rPr>
      </w:pPr>
      <w:r w:rsidDel="00000000" w:rsidR="00000000" w:rsidRPr="00000000">
        <w:rPr>
          <w:rFonts w:ascii="Inter" w:cs="Inter" w:eastAsia="Inter" w:hAnsi="Inter"/>
          <w:b w:val="1"/>
          <w:i w:val="0"/>
          <w:smallCaps w:val="0"/>
          <w:strike w:val="0"/>
          <w:color w:val="000000"/>
          <w:sz w:val="23"/>
          <w:szCs w:val="23"/>
          <w:u w:val="none"/>
          <w:shd w:fill="auto" w:val="clear"/>
          <w:vertAlign w:val="baseline"/>
          <w:rtl w:val="0"/>
        </w:rPr>
        <w:t xml:space="preserve">P</w:t>
      </w:r>
      <w:r w:rsidDel="00000000" w:rsidR="00000000" w:rsidRPr="00000000">
        <w:rPr>
          <w:rFonts w:ascii="Inter" w:cs="Inter" w:eastAsia="Inter" w:hAnsi="Inter"/>
          <w:b w:val="1"/>
          <w:sz w:val="23"/>
          <w:szCs w:val="23"/>
          <w:rtl w:val="0"/>
        </w:rPr>
        <w:t xml:space="preserve">ROJETO DE LEI ORDINÁRIA Nº </w:t>
      </w:r>
      <w:r w:rsidDel="00000000" w:rsidR="00000000" w:rsidRPr="00000000">
        <w:rPr>
          <w:rFonts w:ascii="Inter" w:cs="Inter" w:eastAsia="Inter" w:hAnsi="Inter"/>
          <w:b w:val="1"/>
          <w:i w:val="0"/>
          <w:smallCaps w:val="0"/>
          <w:strike w:val="0"/>
          <w:color w:val="000000"/>
          <w:sz w:val="23"/>
          <w:szCs w:val="23"/>
          <w:u w:val="none"/>
          <w:shd w:fill="auto" w:val="clear"/>
          <w:vertAlign w:val="baseline"/>
          <w:rtl w:val="0"/>
        </w:rPr>
        <w:t xml:space="preserve"> __________</w:t>
      </w:r>
      <w:r w:rsidDel="00000000" w:rsidR="00000000" w:rsidRPr="00000000">
        <w:rPr>
          <w:rFonts w:ascii="Inter" w:cs="Inter" w:eastAsia="Inter" w:hAnsi="Inter"/>
          <w:b w:val="1"/>
          <w:sz w:val="23"/>
          <w:szCs w:val="23"/>
          <w:rtl w:val="0"/>
        </w:rPr>
        <w:t xml:space="preserve"> DE </w:t>
      </w:r>
      <w:r w:rsidDel="00000000" w:rsidR="00000000" w:rsidRPr="00000000">
        <w:rPr>
          <w:rFonts w:ascii="Inter" w:cs="Inter" w:eastAsia="Inter" w:hAnsi="Inter"/>
          <w:b w:val="1"/>
          <w:i w:val="0"/>
          <w:smallCaps w:val="0"/>
          <w:strike w:val="0"/>
          <w:color w:val="000000"/>
          <w:sz w:val="23"/>
          <w:szCs w:val="23"/>
          <w:u w:val="none"/>
          <w:shd w:fill="auto" w:val="clear"/>
          <w:vertAlign w:val="baseline"/>
          <w:rtl w:val="0"/>
        </w:rPr>
        <w:t xml:space="preserve">20</w:t>
      </w:r>
      <w:r w:rsidDel="00000000" w:rsidR="00000000" w:rsidRPr="00000000">
        <w:rPr>
          <w:rFonts w:ascii="Inter" w:cs="Inter" w:eastAsia="Inter" w:hAnsi="Inter"/>
          <w:b w:val="1"/>
          <w:sz w:val="23"/>
          <w:szCs w:val="23"/>
          <w:rtl w:val="0"/>
        </w:rPr>
        <w:t xml:space="preserve">23</w:t>
      </w:r>
      <w:r w:rsidDel="00000000" w:rsidR="00000000" w:rsidRPr="00000000">
        <w:rPr>
          <w:rtl w:val="0"/>
        </w:rPr>
      </w:r>
    </w:p>
    <w:p w:rsidR="00000000" w:rsidDel="00000000" w:rsidP="00000000" w:rsidRDefault="00000000" w:rsidRPr="00000000" w14:paraId="00000002">
      <w:pPr>
        <w:spacing w:line="240" w:lineRule="auto"/>
        <w:ind w:left="0" w:firstLine="0"/>
        <w:jc w:val="both"/>
        <w:rPr>
          <w:rFonts w:ascii="Inter" w:cs="Inter" w:eastAsia="Inter" w:hAnsi="Inter"/>
          <w:i w:val="1"/>
          <w:sz w:val="23"/>
          <w:szCs w:val="23"/>
        </w:rPr>
      </w:pPr>
      <w:r w:rsidDel="00000000" w:rsidR="00000000" w:rsidRPr="00000000">
        <w:rPr>
          <w:rtl w:val="0"/>
        </w:rPr>
      </w:r>
    </w:p>
    <w:p w:rsidR="00000000" w:rsidDel="00000000" w:rsidP="00000000" w:rsidRDefault="00000000" w:rsidRPr="00000000" w14:paraId="00000003">
      <w:pPr>
        <w:spacing w:line="240" w:lineRule="auto"/>
        <w:ind w:left="3401.5748031496064" w:firstLine="0"/>
        <w:jc w:val="both"/>
        <w:rPr>
          <w:rFonts w:ascii="Inter" w:cs="Inter" w:eastAsia="Inter" w:hAnsi="Inter"/>
          <w:i w:val="1"/>
          <w:sz w:val="23"/>
          <w:szCs w:val="23"/>
        </w:rPr>
      </w:pPr>
      <w:r w:rsidDel="00000000" w:rsidR="00000000" w:rsidRPr="00000000">
        <w:rPr>
          <w:rFonts w:ascii="Inter" w:cs="Inter" w:eastAsia="Inter" w:hAnsi="Inter"/>
          <w:i w:val="1"/>
          <w:sz w:val="23"/>
          <w:szCs w:val="23"/>
          <w:rtl w:val="0"/>
        </w:rPr>
        <w:t xml:space="preserve">Dispõe sobre a obrigatoriedade de divulgação de custos de veiculação de publicidade nos meios de comunicação e dá outras providências.</w:t>
      </w:r>
    </w:p>
    <w:p w:rsidR="00000000" w:rsidDel="00000000" w:rsidP="00000000" w:rsidRDefault="00000000" w:rsidRPr="00000000" w14:paraId="00000004">
      <w:pPr>
        <w:spacing w:line="240" w:lineRule="auto"/>
        <w:jc w:val="both"/>
        <w:rPr>
          <w:rFonts w:ascii="Inter" w:cs="Inter" w:eastAsia="Inter" w:hAnsi="Inter"/>
          <w:sz w:val="5"/>
          <w:szCs w:val="5"/>
        </w:rPr>
      </w:pPr>
      <w:r w:rsidDel="00000000" w:rsidR="00000000" w:rsidRPr="00000000">
        <w:rPr>
          <w:rtl w:val="0"/>
        </w:rPr>
      </w:r>
    </w:p>
    <w:p w:rsidR="00000000" w:rsidDel="00000000" w:rsidP="00000000" w:rsidRDefault="00000000" w:rsidRPr="00000000" w14:paraId="00000005">
      <w:pPr>
        <w:spacing w:line="240"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06">
      <w:pPr>
        <w:spacing w:line="240" w:lineRule="auto"/>
        <w:ind w:firstLine="540"/>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A </w:t>
      </w:r>
      <w:r w:rsidDel="00000000" w:rsidR="00000000" w:rsidRPr="00000000">
        <w:rPr>
          <w:rFonts w:ascii="Inter" w:cs="Inter" w:eastAsia="Inter" w:hAnsi="Inter"/>
          <w:b w:val="1"/>
          <w:sz w:val="23"/>
          <w:szCs w:val="23"/>
          <w:rtl w:val="0"/>
        </w:rPr>
        <w:t xml:space="preserve">CÂMARA MUNICIPAL DE ANÁPOLIS </w:t>
      </w:r>
      <w:r w:rsidDel="00000000" w:rsidR="00000000" w:rsidRPr="00000000">
        <w:rPr>
          <w:rFonts w:ascii="Inter" w:cs="Inter" w:eastAsia="Inter" w:hAnsi="Inter"/>
          <w:sz w:val="23"/>
          <w:szCs w:val="23"/>
          <w:rtl w:val="0"/>
        </w:rPr>
        <w:t xml:space="preserve">aprovou e eu, </w:t>
      </w:r>
      <w:r w:rsidDel="00000000" w:rsidR="00000000" w:rsidRPr="00000000">
        <w:rPr>
          <w:rFonts w:ascii="Inter" w:cs="Inter" w:eastAsia="Inter" w:hAnsi="Inter"/>
          <w:b w:val="1"/>
          <w:sz w:val="23"/>
          <w:szCs w:val="23"/>
          <w:rtl w:val="0"/>
        </w:rPr>
        <w:t xml:space="preserve">PREFEITO MUNICIPAL</w:t>
      </w:r>
      <w:r w:rsidDel="00000000" w:rsidR="00000000" w:rsidRPr="00000000">
        <w:rPr>
          <w:rFonts w:ascii="Inter" w:cs="Inter" w:eastAsia="Inter" w:hAnsi="Inter"/>
          <w:sz w:val="23"/>
          <w:szCs w:val="23"/>
          <w:rtl w:val="0"/>
        </w:rPr>
        <w:t xml:space="preserve">, sanciono a seguinte Lei Ordinária:</w:t>
      </w:r>
    </w:p>
    <w:p w:rsidR="00000000" w:rsidDel="00000000" w:rsidP="00000000" w:rsidRDefault="00000000" w:rsidRPr="00000000" w14:paraId="00000007">
      <w:pPr>
        <w:spacing w:line="240" w:lineRule="auto"/>
        <w:ind w:firstLine="540"/>
        <w:jc w:val="both"/>
        <w:rPr>
          <w:rFonts w:ascii="Inter" w:cs="Inter" w:eastAsia="Inter" w:hAnsi="Inter"/>
          <w:b w:val="1"/>
          <w:sz w:val="23"/>
          <w:szCs w:val="23"/>
        </w:rPr>
      </w:pPr>
      <w:r w:rsidDel="00000000" w:rsidR="00000000" w:rsidRPr="00000000">
        <w:rPr>
          <w:rtl w:val="0"/>
        </w:rPr>
      </w:r>
    </w:p>
    <w:p w:rsidR="00000000" w:rsidDel="00000000" w:rsidP="00000000" w:rsidRDefault="00000000" w:rsidRPr="00000000" w14:paraId="00000008">
      <w:pPr>
        <w:spacing w:line="240" w:lineRule="auto"/>
        <w:ind w:firstLine="540"/>
        <w:jc w:val="both"/>
        <w:rPr>
          <w:rFonts w:ascii="Inter" w:cs="Inter" w:eastAsia="Inter" w:hAnsi="Inter"/>
          <w:b w:val="1"/>
          <w:sz w:val="23"/>
          <w:szCs w:val="23"/>
        </w:rPr>
      </w:pPr>
      <w:r w:rsidDel="00000000" w:rsidR="00000000" w:rsidRPr="00000000">
        <w:rPr>
          <w:rFonts w:ascii="Inter" w:cs="Inter" w:eastAsia="Inter" w:hAnsi="Inter"/>
          <w:b w:val="1"/>
          <w:sz w:val="23"/>
          <w:szCs w:val="23"/>
          <w:vertAlign w:val="baseline"/>
          <w:rtl w:val="0"/>
        </w:rPr>
        <w:t xml:space="preserve">Art. 1º.</w:t>
      </w:r>
      <w:r w:rsidDel="00000000" w:rsidR="00000000" w:rsidRPr="00000000">
        <w:rPr>
          <w:rFonts w:ascii="Inter" w:cs="Inter" w:eastAsia="Inter" w:hAnsi="Inter"/>
          <w:sz w:val="23"/>
          <w:szCs w:val="23"/>
          <w:rtl w:val="0"/>
        </w:rPr>
        <w:t xml:space="preserve"> Quando às custas do erário público, torna-se obrigatória a divulgação</w:t>
      </w:r>
      <w:r w:rsidDel="00000000" w:rsidR="00000000" w:rsidRPr="00000000">
        <w:rPr>
          <w:rFonts w:ascii="Inter" w:cs="Inter" w:eastAsia="Inter" w:hAnsi="Inter"/>
          <w:sz w:val="23"/>
          <w:szCs w:val="23"/>
          <w:vertAlign w:val="baseline"/>
          <w:rtl w:val="0"/>
        </w:rPr>
        <w:t xml:space="preserve"> dos custos de criação, produçã</w:t>
      </w:r>
      <w:r w:rsidDel="00000000" w:rsidR="00000000" w:rsidRPr="00000000">
        <w:rPr>
          <w:rFonts w:ascii="Inter" w:cs="Inter" w:eastAsia="Inter" w:hAnsi="Inter"/>
          <w:sz w:val="23"/>
          <w:szCs w:val="23"/>
          <w:rtl w:val="0"/>
        </w:rPr>
        <w:t xml:space="preserve">o e </w:t>
      </w:r>
      <w:r w:rsidDel="00000000" w:rsidR="00000000" w:rsidRPr="00000000">
        <w:rPr>
          <w:rFonts w:ascii="Inter" w:cs="Inter" w:eastAsia="Inter" w:hAnsi="Inter"/>
          <w:sz w:val="23"/>
          <w:szCs w:val="23"/>
          <w:vertAlign w:val="baseline"/>
          <w:rtl w:val="0"/>
        </w:rPr>
        <w:t xml:space="preserve">veiculação de toda a publicidade produzida</w:t>
      </w:r>
      <w:r w:rsidDel="00000000" w:rsidR="00000000" w:rsidRPr="00000000">
        <w:rPr>
          <w:rFonts w:ascii="Inter" w:cs="Inter" w:eastAsia="Inter" w:hAnsi="Inter"/>
          <w:sz w:val="23"/>
          <w:szCs w:val="23"/>
          <w:rtl w:val="0"/>
        </w:rPr>
        <w:t xml:space="preserve"> e </w:t>
      </w:r>
      <w:r w:rsidDel="00000000" w:rsidR="00000000" w:rsidRPr="00000000">
        <w:rPr>
          <w:rFonts w:ascii="Inter" w:cs="Inter" w:eastAsia="Inter" w:hAnsi="Inter"/>
          <w:sz w:val="23"/>
          <w:szCs w:val="23"/>
          <w:vertAlign w:val="baseline"/>
          <w:rtl w:val="0"/>
        </w:rPr>
        <w:t xml:space="preserve">inserida nos meios de comunicação</w:t>
      </w:r>
      <w:r w:rsidDel="00000000" w:rsidR="00000000" w:rsidRPr="00000000">
        <w:rPr>
          <w:rFonts w:ascii="Inter" w:cs="Inter" w:eastAsia="Inter" w:hAnsi="Inter"/>
          <w:sz w:val="23"/>
          <w:szCs w:val="23"/>
          <w:rtl w:val="0"/>
        </w:rPr>
        <w:t xml:space="preserve"> telemática, impressa ou em qualquer outra mídia que exista, ou venha a ser inventada</w:t>
      </w:r>
      <w:r w:rsidDel="00000000" w:rsidR="00000000" w:rsidRPr="00000000">
        <w:rPr>
          <w:rFonts w:ascii="Inter" w:cs="Inter" w:eastAsia="Inter" w:hAnsi="Inter"/>
          <w:sz w:val="23"/>
          <w:szCs w:val="23"/>
          <w:vertAlign w:val="baseline"/>
          <w:rtl w:val="0"/>
        </w:rPr>
        <w:t xml:space="preserve">, inclusive aquelas realizadas por meios próprios</w:t>
      </w:r>
      <w:r w:rsidDel="00000000" w:rsidR="00000000" w:rsidRPr="00000000">
        <w:rPr>
          <w:rFonts w:ascii="Inter" w:cs="Inter" w:eastAsia="Inter" w:hAnsi="Inter"/>
          <w:sz w:val="23"/>
          <w:szCs w:val="23"/>
          <w:rtl w:val="0"/>
        </w:rPr>
        <w:t xml:space="preserve">.</w:t>
      </w:r>
      <w:r w:rsidDel="00000000" w:rsidR="00000000" w:rsidRPr="00000000">
        <w:rPr>
          <w:rtl w:val="0"/>
        </w:rPr>
      </w:r>
    </w:p>
    <w:p w:rsidR="00000000" w:rsidDel="00000000" w:rsidP="00000000" w:rsidRDefault="00000000" w:rsidRPr="00000000" w14:paraId="00000009">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§1º. </w:t>
      </w:r>
      <w:r w:rsidDel="00000000" w:rsidR="00000000" w:rsidRPr="00000000">
        <w:rPr>
          <w:rFonts w:ascii="Inter" w:cs="Inter" w:eastAsia="Inter" w:hAnsi="Inter"/>
          <w:sz w:val="23"/>
          <w:szCs w:val="23"/>
          <w:rtl w:val="0"/>
        </w:rPr>
        <w:t xml:space="preserve">A divulgação dos gastos previstos no caput deverá conter, obrigatoriamente, os valores unitário e total da veiculação.</w:t>
      </w:r>
    </w:p>
    <w:p w:rsidR="00000000" w:rsidDel="00000000" w:rsidP="00000000" w:rsidRDefault="00000000" w:rsidRPr="00000000" w14:paraId="0000000A">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§2º.</w:t>
      </w:r>
      <w:r w:rsidDel="00000000" w:rsidR="00000000" w:rsidRPr="00000000">
        <w:rPr>
          <w:rFonts w:ascii="Inter" w:cs="Inter" w:eastAsia="Inter" w:hAnsi="Inter"/>
          <w:sz w:val="23"/>
          <w:szCs w:val="23"/>
          <w:rtl w:val="0"/>
        </w:rPr>
        <w:t xml:space="preserve"> Por valor unitário entende-se aquele despendido com cada unidade de peça publicitária.</w:t>
      </w:r>
    </w:p>
    <w:p w:rsidR="00000000" w:rsidDel="00000000" w:rsidP="00000000" w:rsidRDefault="00000000" w:rsidRPr="00000000" w14:paraId="0000000B">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§3º. </w:t>
      </w:r>
      <w:r w:rsidDel="00000000" w:rsidR="00000000" w:rsidRPr="00000000">
        <w:rPr>
          <w:rFonts w:ascii="Inter" w:cs="Inter" w:eastAsia="Inter" w:hAnsi="Inter"/>
          <w:sz w:val="23"/>
          <w:szCs w:val="23"/>
          <w:rtl w:val="0"/>
        </w:rPr>
        <w:t xml:space="preserve">Por valor total entende-se aquele contratado para determinada campanha publicitária como um todo, incluindo todos os valores unitários.</w:t>
      </w:r>
    </w:p>
    <w:p w:rsidR="00000000" w:rsidDel="00000000" w:rsidP="00000000" w:rsidRDefault="00000000" w:rsidRPr="00000000" w14:paraId="0000000C">
      <w:pPr>
        <w:spacing w:line="240"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0D">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Art. 2º.</w:t>
      </w:r>
      <w:r w:rsidDel="00000000" w:rsidR="00000000" w:rsidRPr="00000000">
        <w:rPr>
          <w:rFonts w:ascii="Inter" w:cs="Inter" w:eastAsia="Inter" w:hAnsi="Inter"/>
          <w:sz w:val="23"/>
          <w:szCs w:val="23"/>
          <w:rtl w:val="0"/>
        </w:rPr>
        <w:t xml:space="preserve"> A divulgação dos custos se dará pela seguinte mensagem: “a população de Anápolis pagou por este anúncio. Valor unitário: ____; valor total: ____” e obedecerá aos seguintes critérios:</w:t>
      </w:r>
    </w:p>
    <w:p w:rsidR="00000000" w:rsidDel="00000000" w:rsidP="00000000" w:rsidRDefault="00000000" w:rsidRPr="00000000" w14:paraId="0000000E">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I </w:t>
      </w:r>
      <w:r w:rsidDel="00000000" w:rsidR="00000000" w:rsidRPr="00000000">
        <w:rPr>
          <w:rFonts w:ascii="Inter" w:cs="Inter" w:eastAsia="Inter" w:hAnsi="Inter"/>
          <w:sz w:val="23"/>
          <w:szCs w:val="23"/>
          <w:rtl w:val="0"/>
        </w:rPr>
        <w:t xml:space="preserve">- na publicidade em jornais e revistas deverá ocupar no mínimo 5% (cinco por cento) da publicação;</w:t>
      </w:r>
    </w:p>
    <w:p w:rsidR="00000000" w:rsidDel="00000000" w:rsidP="00000000" w:rsidRDefault="00000000" w:rsidRPr="00000000" w14:paraId="0000000F">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II</w:t>
      </w:r>
      <w:r w:rsidDel="00000000" w:rsidR="00000000" w:rsidRPr="00000000">
        <w:rPr>
          <w:rFonts w:ascii="Inter" w:cs="Inter" w:eastAsia="Inter" w:hAnsi="Inter"/>
          <w:sz w:val="23"/>
          <w:szCs w:val="23"/>
          <w:rtl w:val="0"/>
        </w:rPr>
        <w:t xml:space="preserve"> - na publicidade radiofônica, ou qualquer transmissão de áudio, a mensagem deverá ter a duração necessária para que sua locução seja audível e inteligível;</w:t>
      </w:r>
    </w:p>
    <w:p w:rsidR="00000000" w:rsidDel="00000000" w:rsidP="00000000" w:rsidRDefault="00000000" w:rsidRPr="00000000" w14:paraId="00000010">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III</w:t>
      </w:r>
      <w:r w:rsidDel="00000000" w:rsidR="00000000" w:rsidRPr="00000000">
        <w:rPr>
          <w:rFonts w:ascii="Inter" w:cs="Inter" w:eastAsia="Inter" w:hAnsi="Inter"/>
          <w:sz w:val="23"/>
          <w:szCs w:val="23"/>
          <w:rtl w:val="0"/>
        </w:rPr>
        <w:t xml:space="preserve"> - na publicidade em televisão, ou qualquer transmissão ou publicação em vídeo, a mensagem deverá ter a duração de 05 (cinco) segundos em tela, ou no rodapé da imagem durante toda a exibição, de modo claro e legível;</w:t>
      </w:r>
    </w:p>
    <w:p w:rsidR="00000000" w:rsidDel="00000000" w:rsidP="00000000" w:rsidRDefault="00000000" w:rsidRPr="00000000" w14:paraId="00000011">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IV </w:t>
      </w:r>
      <w:r w:rsidDel="00000000" w:rsidR="00000000" w:rsidRPr="00000000">
        <w:rPr>
          <w:rFonts w:ascii="Inter" w:cs="Inter" w:eastAsia="Inter" w:hAnsi="Inter"/>
          <w:sz w:val="23"/>
          <w:szCs w:val="23"/>
          <w:rtl w:val="0"/>
        </w:rPr>
        <w:t xml:space="preserve">-  na publicidade impressa, por panfletos, outdoors, painéis, placas ou similares, a mensagem deverá ocupar no mínimo 10% (dez por cento) da publicação.</w:t>
      </w:r>
    </w:p>
    <w:p w:rsidR="00000000" w:rsidDel="00000000" w:rsidP="00000000" w:rsidRDefault="00000000" w:rsidRPr="00000000" w14:paraId="00000012">
      <w:pPr>
        <w:spacing w:line="240"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13">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Parágrafo único.</w:t>
      </w:r>
      <w:r w:rsidDel="00000000" w:rsidR="00000000" w:rsidRPr="00000000">
        <w:rPr>
          <w:rFonts w:ascii="Inter" w:cs="Inter" w:eastAsia="Inter" w:hAnsi="Inter"/>
          <w:sz w:val="23"/>
          <w:szCs w:val="23"/>
          <w:rtl w:val="0"/>
        </w:rPr>
        <w:t xml:space="preserve"> Os valores de que trata o caput deste artigo deverão ser expressos na unidade monetária corrente no país.</w:t>
      </w:r>
    </w:p>
    <w:p w:rsidR="00000000" w:rsidDel="00000000" w:rsidP="00000000" w:rsidRDefault="00000000" w:rsidRPr="00000000" w14:paraId="00000014">
      <w:pPr>
        <w:spacing w:line="240"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15">
      <w:pPr>
        <w:spacing w:line="240" w:lineRule="auto"/>
        <w:ind w:firstLine="540"/>
        <w:jc w:val="both"/>
        <w:rPr>
          <w:rFonts w:ascii="Inter" w:cs="Inter" w:eastAsia="Inter" w:hAnsi="Inter"/>
          <w:sz w:val="23"/>
          <w:szCs w:val="23"/>
        </w:rPr>
      </w:pPr>
      <w:r w:rsidDel="00000000" w:rsidR="00000000" w:rsidRPr="00000000">
        <w:rPr>
          <w:rFonts w:ascii="Inter" w:cs="Inter" w:eastAsia="Inter" w:hAnsi="Inter"/>
          <w:b w:val="1"/>
          <w:sz w:val="23"/>
          <w:szCs w:val="23"/>
          <w:rtl w:val="0"/>
        </w:rPr>
        <w:t xml:space="preserve">Art. 3º. </w:t>
      </w:r>
      <w:r w:rsidDel="00000000" w:rsidR="00000000" w:rsidRPr="00000000">
        <w:rPr>
          <w:rFonts w:ascii="Inter" w:cs="Inter" w:eastAsia="Inter" w:hAnsi="Inter"/>
          <w:sz w:val="23"/>
          <w:szCs w:val="23"/>
          <w:rtl w:val="0"/>
        </w:rPr>
        <w:t xml:space="preserve">Esta lei entra em vigor na data de sua publicação, revogam-se as disposições em contrário.</w:t>
      </w:r>
    </w:p>
    <w:p w:rsidR="00000000" w:rsidDel="00000000" w:rsidP="00000000" w:rsidRDefault="00000000" w:rsidRPr="00000000" w14:paraId="00000016">
      <w:pPr>
        <w:spacing w:line="240"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17">
      <w:pPr>
        <w:spacing w:line="240" w:lineRule="auto"/>
        <w:ind w:firstLine="540"/>
        <w:jc w:val="both"/>
        <w:rPr>
          <w:rFonts w:ascii="Inter" w:cs="Inter" w:eastAsia="Inter" w:hAnsi="Inter"/>
          <w:sz w:val="23"/>
          <w:szCs w:val="23"/>
          <w:vertAlign w:val="baseline"/>
        </w:rPr>
      </w:pPr>
      <w:r w:rsidDel="00000000" w:rsidR="00000000" w:rsidRPr="00000000">
        <w:rPr>
          <w:rFonts w:ascii="Inter" w:cs="Inter" w:eastAsia="Inter" w:hAnsi="Inter"/>
          <w:sz w:val="23"/>
          <w:szCs w:val="23"/>
          <w:vertAlign w:val="baseline"/>
          <w:rtl w:val="0"/>
        </w:rPr>
        <w:t xml:space="preserve">Câmara Municipal de </w:t>
      </w:r>
      <w:r w:rsidDel="00000000" w:rsidR="00000000" w:rsidRPr="00000000">
        <w:rPr>
          <w:rFonts w:ascii="Inter" w:cs="Inter" w:eastAsia="Inter" w:hAnsi="Inter"/>
          <w:sz w:val="23"/>
          <w:szCs w:val="23"/>
          <w:rtl w:val="0"/>
        </w:rPr>
        <w:t xml:space="preserve">Anápolis, 31 de março de 2023.</w:t>
      </w:r>
      <w:r w:rsidDel="00000000" w:rsidR="00000000" w:rsidRPr="00000000">
        <w:rPr>
          <w:rtl w:val="0"/>
        </w:rPr>
      </w:r>
    </w:p>
    <w:p w:rsidR="00000000" w:rsidDel="00000000" w:rsidP="00000000" w:rsidRDefault="00000000" w:rsidRPr="00000000" w14:paraId="00000018">
      <w:pPr>
        <w:spacing w:line="192.00000000000003"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19">
      <w:pPr>
        <w:spacing w:line="192.00000000000003" w:lineRule="auto"/>
        <w:jc w:val="both"/>
        <w:rPr>
          <w:rFonts w:ascii="Inter" w:cs="Inter" w:eastAsia="Inter" w:hAnsi="Inter"/>
          <w:sz w:val="21"/>
          <w:szCs w:val="21"/>
        </w:rPr>
      </w:pPr>
      <w:r w:rsidDel="00000000" w:rsidR="00000000" w:rsidRPr="00000000">
        <w:rPr>
          <w:rtl w:val="0"/>
        </w:rPr>
      </w:r>
    </w:p>
    <w:p w:rsidR="00000000" w:rsidDel="00000000" w:rsidP="00000000" w:rsidRDefault="00000000" w:rsidRPr="00000000" w14:paraId="0000001A">
      <w:pPr>
        <w:spacing w:line="192.00000000000003" w:lineRule="auto"/>
        <w:jc w:val="both"/>
        <w:rPr>
          <w:rFonts w:ascii="Inter" w:cs="Inter" w:eastAsia="Inter" w:hAnsi="Inter"/>
          <w:sz w:val="25"/>
          <w:szCs w:val="25"/>
        </w:rPr>
      </w:pPr>
      <w:r w:rsidDel="00000000" w:rsidR="00000000" w:rsidRPr="00000000">
        <w:rPr>
          <w:rtl w:val="0"/>
        </w:rPr>
      </w:r>
    </w:p>
    <w:p w:rsidR="00000000" w:rsidDel="00000000" w:rsidP="00000000" w:rsidRDefault="00000000" w:rsidRPr="00000000" w14:paraId="0000001B">
      <w:pPr>
        <w:spacing w:line="192.00000000000003" w:lineRule="auto"/>
        <w:jc w:val="both"/>
        <w:rPr>
          <w:rFonts w:ascii="Inter" w:cs="Inter" w:eastAsia="Inter" w:hAnsi="Inter"/>
          <w:sz w:val="25"/>
          <w:szCs w:val="25"/>
        </w:rPr>
      </w:pPr>
      <w:r w:rsidDel="00000000" w:rsidR="00000000" w:rsidRPr="00000000">
        <w:rPr>
          <w:rtl w:val="0"/>
        </w:rPr>
      </w:r>
    </w:p>
    <w:p w:rsidR="00000000" w:rsidDel="00000000" w:rsidP="00000000" w:rsidRDefault="00000000" w:rsidRPr="00000000" w14:paraId="0000001C">
      <w:pPr>
        <w:spacing w:line="192.00000000000003" w:lineRule="auto"/>
        <w:jc w:val="center"/>
        <w:rPr>
          <w:rFonts w:ascii="Inter" w:cs="Inter" w:eastAsia="Inter" w:hAnsi="Inter"/>
          <w:b w:val="1"/>
          <w:sz w:val="23"/>
          <w:szCs w:val="23"/>
        </w:rPr>
      </w:pPr>
      <w:r w:rsidDel="00000000" w:rsidR="00000000" w:rsidRPr="00000000">
        <w:rPr>
          <w:rFonts w:ascii="Inter" w:cs="Inter" w:eastAsia="Inter" w:hAnsi="Inter"/>
          <w:b w:val="1"/>
          <w:sz w:val="23"/>
          <w:szCs w:val="23"/>
          <w:rtl w:val="0"/>
        </w:rPr>
        <w:t xml:space="preserve">POLICIAL FEDERAL SUENDER</w:t>
      </w:r>
    </w:p>
    <w:p w:rsidR="00000000" w:rsidDel="00000000" w:rsidP="00000000" w:rsidRDefault="00000000" w:rsidRPr="00000000" w14:paraId="0000001D">
      <w:pPr>
        <w:spacing w:line="192.00000000000003" w:lineRule="auto"/>
        <w:jc w:val="center"/>
        <w:rPr>
          <w:rFonts w:ascii="Inter" w:cs="Inter" w:eastAsia="Inter" w:hAnsi="Inter"/>
          <w:sz w:val="23"/>
          <w:szCs w:val="23"/>
        </w:rPr>
      </w:pPr>
      <w:r w:rsidDel="00000000" w:rsidR="00000000" w:rsidRPr="00000000">
        <w:rPr>
          <w:rFonts w:ascii="Inter" w:cs="Inter" w:eastAsia="Inter" w:hAnsi="Inter"/>
          <w:sz w:val="23"/>
          <w:szCs w:val="23"/>
          <w:rtl w:val="0"/>
        </w:rPr>
        <w:t xml:space="preserve">Vereador - PRTB</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Inter" w:cs="Inter" w:eastAsia="Inter" w:hAnsi="Inter"/>
          <w:b w:val="1"/>
          <w:i w:val="0"/>
          <w:smallCaps w:val="0"/>
          <w:strike w:val="0"/>
          <w:color w:val="000000"/>
          <w:sz w:val="23"/>
          <w:szCs w:val="23"/>
          <w:shd w:fill="auto" w:val="clear"/>
          <w:vertAlign w:val="baseline"/>
        </w:rPr>
      </w:pPr>
      <w:r w:rsidDel="00000000" w:rsidR="00000000" w:rsidRPr="00000000">
        <w:rPr>
          <w:rFonts w:ascii="Inter" w:cs="Inter" w:eastAsia="Inter" w:hAnsi="Inter"/>
          <w:b w:val="1"/>
          <w:sz w:val="23"/>
          <w:szCs w:val="23"/>
          <w:rtl w:val="0"/>
        </w:rPr>
        <w:t xml:space="preserve">JUSTIFICATIVA</w:t>
      </w:r>
      <w:r w:rsidDel="00000000" w:rsidR="00000000" w:rsidRPr="00000000">
        <w:rPr>
          <w:rtl w:val="0"/>
        </w:rPr>
      </w:r>
    </w:p>
    <w:p w:rsidR="00000000" w:rsidDel="00000000" w:rsidP="00000000" w:rsidRDefault="00000000" w:rsidRPr="00000000" w14:paraId="0000001F">
      <w:pPr>
        <w:spacing w:line="276" w:lineRule="auto"/>
        <w:ind w:firstLine="540"/>
        <w:jc w:val="both"/>
        <w:rPr>
          <w:rFonts w:ascii="Inter" w:cs="Inter" w:eastAsia="Inter" w:hAnsi="Inter"/>
          <w:sz w:val="23"/>
          <w:szCs w:val="23"/>
          <w:vertAlign w:val="baseline"/>
        </w:rPr>
      </w:pPr>
      <w:r w:rsidDel="00000000" w:rsidR="00000000" w:rsidRPr="00000000">
        <w:rPr>
          <w:rtl w:val="0"/>
        </w:rPr>
      </w:r>
    </w:p>
    <w:p w:rsidR="00000000" w:rsidDel="00000000" w:rsidP="00000000" w:rsidRDefault="00000000" w:rsidRPr="00000000" w14:paraId="00000020">
      <w:pPr>
        <w:spacing w:line="276" w:lineRule="auto"/>
        <w:ind w:firstLine="540"/>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Trata-se de Projeto de Lei que o</w:t>
      </w:r>
      <w:r w:rsidDel="00000000" w:rsidR="00000000" w:rsidRPr="00000000">
        <w:rPr>
          <w:rFonts w:ascii="Inter" w:cs="Inter" w:eastAsia="Inter" w:hAnsi="Inter"/>
          <w:sz w:val="23"/>
          <w:szCs w:val="23"/>
          <w:rtl w:val="0"/>
        </w:rPr>
        <w:t xml:space="preserve">briga a divulgação de custos de veiculação de publicidade nos meios de comunicação e dá outras providências, tendo em vista uma plena transparência de todas as ações publicitárias da administração pública municipal. </w:t>
      </w:r>
      <w:r w:rsidDel="00000000" w:rsidR="00000000" w:rsidRPr="00000000">
        <w:rPr>
          <w:rFonts w:ascii="Inter" w:cs="Inter" w:eastAsia="Inter" w:hAnsi="Inter"/>
          <w:sz w:val="23"/>
          <w:szCs w:val="23"/>
          <w:vertAlign w:val="baseline"/>
          <w:rtl w:val="0"/>
        </w:rPr>
        <w:t xml:space="preserve">Os munícipes</w:t>
      </w:r>
      <w:r w:rsidDel="00000000" w:rsidR="00000000" w:rsidRPr="00000000">
        <w:rPr>
          <w:rFonts w:ascii="Inter" w:cs="Inter" w:eastAsia="Inter" w:hAnsi="Inter"/>
          <w:sz w:val="23"/>
          <w:szCs w:val="23"/>
          <w:rtl w:val="0"/>
        </w:rPr>
        <w:t xml:space="preserve">, </w:t>
      </w:r>
      <w:r w:rsidDel="00000000" w:rsidR="00000000" w:rsidRPr="00000000">
        <w:rPr>
          <w:rFonts w:ascii="Inter" w:cs="Inter" w:eastAsia="Inter" w:hAnsi="Inter"/>
          <w:sz w:val="23"/>
          <w:szCs w:val="23"/>
          <w:vertAlign w:val="baseline"/>
          <w:rtl w:val="0"/>
        </w:rPr>
        <w:t xml:space="preserve">que recolhem religiosamente seus impostos e cumpre</w:t>
      </w:r>
      <w:r w:rsidDel="00000000" w:rsidR="00000000" w:rsidRPr="00000000">
        <w:rPr>
          <w:rFonts w:ascii="Inter" w:cs="Inter" w:eastAsia="Inter" w:hAnsi="Inter"/>
          <w:sz w:val="23"/>
          <w:szCs w:val="23"/>
          <w:rtl w:val="0"/>
        </w:rPr>
        <w:t xml:space="preserve">m </w:t>
      </w:r>
      <w:r w:rsidDel="00000000" w:rsidR="00000000" w:rsidRPr="00000000">
        <w:rPr>
          <w:rFonts w:ascii="Inter" w:cs="Inter" w:eastAsia="Inter" w:hAnsi="Inter"/>
          <w:sz w:val="23"/>
          <w:szCs w:val="23"/>
          <w:vertAlign w:val="baseline"/>
          <w:rtl w:val="0"/>
        </w:rPr>
        <w:t xml:space="preserve">rigorosamente com os encargos junto à administração pública, t</w:t>
      </w:r>
      <w:r w:rsidDel="00000000" w:rsidR="00000000" w:rsidRPr="00000000">
        <w:rPr>
          <w:rFonts w:ascii="Inter" w:cs="Inter" w:eastAsia="Inter" w:hAnsi="Inter"/>
          <w:sz w:val="23"/>
          <w:szCs w:val="23"/>
          <w:rtl w:val="0"/>
        </w:rPr>
        <w:t xml:space="preserve">ê</w:t>
      </w:r>
      <w:r w:rsidDel="00000000" w:rsidR="00000000" w:rsidRPr="00000000">
        <w:rPr>
          <w:rFonts w:ascii="Inter" w:cs="Inter" w:eastAsia="Inter" w:hAnsi="Inter"/>
          <w:sz w:val="23"/>
          <w:szCs w:val="23"/>
          <w:vertAlign w:val="baseline"/>
          <w:rtl w:val="0"/>
        </w:rPr>
        <w:t xml:space="preserve">m o direito de saber onde e como está sendo aplicad</w:t>
      </w:r>
      <w:r w:rsidDel="00000000" w:rsidR="00000000" w:rsidRPr="00000000">
        <w:rPr>
          <w:rFonts w:ascii="Inter" w:cs="Inter" w:eastAsia="Inter" w:hAnsi="Inter"/>
          <w:sz w:val="23"/>
          <w:szCs w:val="23"/>
          <w:rtl w:val="0"/>
        </w:rPr>
        <w:t xml:space="preserve">o o dinheiro público.</w:t>
      </w:r>
    </w:p>
    <w:p w:rsidR="00000000" w:rsidDel="00000000" w:rsidP="00000000" w:rsidRDefault="00000000" w:rsidRPr="00000000" w14:paraId="00000021">
      <w:pPr>
        <w:spacing w:line="276" w:lineRule="auto"/>
        <w:ind w:firstLine="540"/>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O direito pátrio garante, em diversos  comandos legais, a transparência e publicidade como princípios fundamentais da administração pública, por isso, este projeto visa, além de promover um monitoramento popular desses gastos, coibir a contratação fraudulenta e o uso das mídias com objetivos eleitorais pelos agentes públicos em exercício, de modo que não utilizem a máquina pública para autopromoção e benefício próprio.</w:t>
      </w:r>
    </w:p>
    <w:p w:rsidR="00000000" w:rsidDel="00000000" w:rsidP="00000000" w:rsidRDefault="00000000" w:rsidRPr="00000000" w14:paraId="00000022">
      <w:pPr>
        <w:spacing w:line="276" w:lineRule="auto"/>
        <w:ind w:firstLine="708.6614173228347"/>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Quanto à alegação de que este projeto de lei viola a reserva de iniciativa do Chefe do Poder Executivo Municipal — como se deu no parecer da CCJR no Projeto de Lei Ordinária nº 30/2023, evindencio que mostra-se absolutamente infundada, uma vez que ele não tange quaisquer atribuições privativas do senhor Prefeito Municipal, nem dispõe sobre estrutura, atribuição ou funcionamento de órgão público, muito menos sobre regime jurídico de servidores e, nesse sentido, invoco a decisão do Pretório Excelso no julgamento proferido no ARE 878911/RG, em sede de repercussão geral (tema 917):</w:t>
      </w:r>
    </w:p>
    <w:p w:rsidR="00000000" w:rsidDel="00000000" w:rsidP="00000000" w:rsidRDefault="00000000" w:rsidRPr="00000000" w14:paraId="00000023">
      <w:pPr>
        <w:spacing w:line="276" w:lineRule="auto"/>
        <w:ind w:firstLine="708.6614173228347"/>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24">
      <w:pPr>
        <w:ind w:left="2267.716535433071" w:firstLine="0"/>
        <w:jc w:val="both"/>
        <w:rPr>
          <w:rFonts w:ascii="Inter" w:cs="Inter" w:eastAsia="Inter" w:hAnsi="Inter"/>
          <w:sz w:val="19"/>
          <w:szCs w:val="19"/>
        </w:rPr>
      </w:pPr>
      <w:r w:rsidDel="00000000" w:rsidR="00000000" w:rsidRPr="00000000">
        <w:rPr>
          <w:rFonts w:ascii="Inter" w:cs="Inter" w:eastAsia="Inter" w:hAnsi="Inter"/>
          <w:sz w:val="19"/>
          <w:szCs w:val="19"/>
          <w:rtl w:val="0"/>
        </w:rPr>
        <w:t xml:space="preserve">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w:t>
      </w:r>
      <w:r w:rsidDel="00000000" w:rsidR="00000000" w:rsidRPr="00000000">
        <w:rPr>
          <w:rFonts w:ascii="Inter" w:cs="Inter" w:eastAsia="Inter" w:hAnsi="Inter"/>
          <w:b w:val="1"/>
          <w:sz w:val="19"/>
          <w:szCs w:val="19"/>
          <w:rtl w:val="0"/>
        </w:rPr>
        <w:t xml:space="preserve">Não usurpa a competência privativa do chefe do Poder Executivo lei que, embora crie despesa para a Administração Pública, não trata da sua estrutura ou da atribuição de seus órgãos nem do regime jurídico de servidores públicos.</w:t>
      </w:r>
      <w:r w:rsidDel="00000000" w:rsidR="00000000" w:rsidRPr="00000000">
        <w:rPr>
          <w:rFonts w:ascii="Inter" w:cs="Inter" w:eastAsia="Inter" w:hAnsi="Inter"/>
          <w:sz w:val="19"/>
          <w:szCs w:val="19"/>
          <w:rtl w:val="0"/>
        </w:rPr>
        <w:t xml:space="preserve"> 4. Repercussão geral reconhecida com reafirmação da jurisprudência desta Corte. 5. Recurso extraordinário provido.” (ARE 878911 RG, Relator(a): GILMAR MENDES, Tribunal Pleno, julgado em 29/09/2016, PROCESSO ELETRÔNICO REPERCUSSÃO GERAL - MÉRITO DJe-217 DIVULG 10-10-2016 PUBLIC 11-10-2016)</w:t>
      </w:r>
    </w:p>
    <w:p w:rsidR="00000000" w:rsidDel="00000000" w:rsidP="00000000" w:rsidRDefault="00000000" w:rsidRPr="00000000" w14:paraId="00000025">
      <w:pPr>
        <w:spacing w:line="276" w:lineRule="auto"/>
        <w:ind w:firstLine="708.6614173228347"/>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26">
      <w:pPr>
        <w:spacing w:line="276" w:lineRule="auto"/>
        <w:ind w:firstLine="708.6614173228347"/>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Nesse mesmo sentido, podemos levar em consideração também a decisão do egrégio Tribunal de Justiça do Estado de Goiás ao julgar caso semelhante:</w:t>
      </w:r>
    </w:p>
    <w:p w:rsidR="00000000" w:rsidDel="00000000" w:rsidP="00000000" w:rsidRDefault="00000000" w:rsidRPr="00000000" w14:paraId="00000027">
      <w:pPr>
        <w:spacing w:line="276" w:lineRule="auto"/>
        <w:ind w:firstLine="708.6614173228347"/>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28">
      <w:pPr>
        <w:ind w:left="2267.716535433071" w:firstLine="0"/>
        <w:jc w:val="both"/>
        <w:rPr>
          <w:rFonts w:ascii="Inter" w:cs="Inter" w:eastAsia="Inter" w:hAnsi="Inter"/>
          <w:sz w:val="18"/>
          <w:szCs w:val="18"/>
        </w:rPr>
      </w:pPr>
      <w:r w:rsidDel="00000000" w:rsidR="00000000" w:rsidRPr="00000000">
        <w:rPr>
          <w:rFonts w:ascii="Inter" w:cs="Inter" w:eastAsia="Inter" w:hAnsi="Inter"/>
          <w:sz w:val="19"/>
          <w:szCs w:val="19"/>
          <w:rtl w:val="0"/>
        </w:rPr>
        <w:t xml:space="preserve">AÇÃO DIRETA DE INCONSTITUCIONALIDADE. LEI MUNICIPAL Nº. 10.795/2022, DE GOIÂNIA-GO. ACOMPANHAMENTO DA GESTANTE POR EQUIPE MULTIDISCIPLINAR, DO PRÉ-NATAL AO PÓS-PARTO. TEMA Nº. 917 DO STF. CONSTITUCIONALIDADE. IMPROCEDÊNCIA DO PEDIDO. I. De acordo com a tese fixada pelo STF quando </w:t>
      </w:r>
      <w:r w:rsidDel="00000000" w:rsidR="00000000" w:rsidRPr="00000000">
        <w:rPr>
          <w:rFonts w:ascii="Inter" w:cs="Inter" w:eastAsia="Inter" w:hAnsi="Inter"/>
          <w:i w:val="1"/>
          <w:sz w:val="19"/>
          <w:szCs w:val="19"/>
          <w:rtl w:val="0"/>
        </w:rPr>
        <w:t xml:space="preserve">do</w:t>
      </w:r>
      <w:r w:rsidDel="00000000" w:rsidR="00000000" w:rsidRPr="00000000">
        <w:rPr>
          <w:rFonts w:ascii="Inter" w:cs="Inter" w:eastAsia="Inter" w:hAnsi="Inter"/>
          <w:sz w:val="19"/>
          <w:szCs w:val="19"/>
          <w:rtl w:val="0"/>
        </w:rPr>
        <w:t xml:space="preserve"> julgamento </w:t>
      </w:r>
      <w:r w:rsidDel="00000000" w:rsidR="00000000" w:rsidRPr="00000000">
        <w:rPr>
          <w:rFonts w:ascii="Inter" w:cs="Inter" w:eastAsia="Inter" w:hAnsi="Inter"/>
          <w:i w:val="1"/>
          <w:sz w:val="19"/>
          <w:szCs w:val="19"/>
          <w:rtl w:val="0"/>
        </w:rPr>
        <w:t xml:space="preserve">do</w:t>
      </w:r>
      <w:r w:rsidDel="00000000" w:rsidR="00000000" w:rsidRPr="00000000">
        <w:rPr>
          <w:rFonts w:ascii="Inter" w:cs="Inter" w:eastAsia="Inter" w:hAnsi="Inter"/>
          <w:sz w:val="19"/>
          <w:szCs w:val="19"/>
          <w:rtl w:val="0"/>
        </w:rPr>
        <w:t xml:space="preserve"> ARE nº. 878911 (Tema nº. 917), ?</w:t>
      </w:r>
      <w:r w:rsidDel="00000000" w:rsidR="00000000" w:rsidRPr="00000000">
        <w:rPr>
          <w:rFonts w:ascii="Inter" w:cs="Inter" w:eastAsia="Inter" w:hAnsi="Inter"/>
          <w:i w:val="1"/>
          <w:sz w:val="19"/>
          <w:szCs w:val="19"/>
          <w:rtl w:val="0"/>
        </w:rPr>
        <w:t xml:space="preserve">não</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usurpa</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competência</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privativa</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do</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Chefe</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do</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Poder</w:t>
      </w:r>
      <w:r w:rsidDel="00000000" w:rsidR="00000000" w:rsidRPr="00000000">
        <w:rPr>
          <w:rFonts w:ascii="Inter" w:cs="Inter" w:eastAsia="Inter" w:hAnsi="Inter"/>
          <w:sz w:val="19"/>
          <w:szCs w:val="19"/>
          <w:rtl w:val="0"/>
        </w:rPr>
        <w:t xml:space="preserve"> </w:t>
      </w:r>
      <w:r w:rsidDel="00000000" w:rsidR="00000000" w:rsidRPr="00000000">
        <w:rPr>
          <w:rFonts w:ascii="Inter" w:cs="Inter" w:eastAsia="Inter" w:hAnsi="Inter"/>
          <w:i w:val="1"/>
          <w:sz w:val="19"/>
          <w:szCs w:val="19"/>
          <w:rtl w:val="0"/>
        </w:rPr>
        <w:t xml:space="preserve">Executivo</w:t>
      </w:r>
      <w:r w:rsidDel="00000000" w:rsidR="00000000" w:rsidRPr="00000000">
        <w:rPr>
          <w:rFonts w:ascii="Inter" w:cs="Inter" w:eastAsia="Inter" w:hAnsi="Inter"/>
          <w:sz w:val="19"/>
          <w:szCs w:val="19"/>
          <w:rtl w:val="0"/>
        </w:rPr>
        <w:t xml:space="preserve"> lei que, embora crie despesa para a Administração, </w:t>
      </w:r>
      <w:r w:rsidDel="00000000" w:rsidR="00000000" w:rsidRPr="00000000">
        <w:rPr>
          <w:rFonts w:ascii="Inter" w:cs="Inter" w:eastAsia="Inter" w:hAnsi="Inter"/>
          <w:i w:val="1"/>
          <w:sz w:val="19"/>
          <w:szCs w:val="19"/>
          <w:rtl w:val="0"/>
        </w:rPr>
        <w:t xml:space="preserve">não</w:t>
      </w:r>
      <w:r w:rsidDel="00000000" w:rsidR="00000000" w:rsidRPr="00000000">
        <w:rPr>
          <w:rFonts w:ascii="Inter" w:cs="Inter" w:eastAsia="Inter" w:hAnsi="Inter"/>
          <w:sz w:val="19"/>
          <w:szCs w:val="19"/>
          <w:rtl w:val="0"/>
        </w:rPr>
        <w:t xml:space="preserve"> trata da sua estrutura ou da atribuição de seus órgãos nem </w:t>
      </w:r>
      <w:r w:rsidDel="00000000" w:rsidR="00000000" w:rsidRPr="00000000">
        <w:rPr>
          <w:rFonts w:ascii="Inter" w:cs="Inter" w:eastAsia="Inter" w:hAnsi="Inter"/>
          <w:i w:val="1"/>
          <w:sz w:val="19"/>
          <w:szCs w:val="19"/>
          <w:rtl w:val="0"/>
        </w:rPr>
        <w:t xml:space="preserve">do</w:t>
      </w:r>
      <w:r w:rsidDel="00000000" w:rsidR="00000000" w:rsidRPr="00000000">
        <w:rPr>
          <w:rFonts w:ascii="Inter" w:cs="Inter" w:eastAsia="Inter" w:hAnsi="Inter"/>
          <w:sz w:val="19"/>
          <w:szCs w:val="19"/>
          <w:rtl w:val="0"/>
        </w:rPr>
        <w:t xml:space="preserve"> regime jurídico de servidores públicos (art. 61, §1º, II, ?a?, ?c? e ?e?, da Constituição Federal)?. II. Na hipótese, é questionada a constitucionalidade da Lei Municipal nº. 10.795/2022, que dispõe sobre a mínima e adequada composição de equipe multidisciplinar de atenção à gestante nos períodos de pré-natal, parto e pós-parto. III. </w:t>
      </w:r>
      <w:r w:rsidDel="00000000" w:rsidR="00000000" w:rsidRPr="00000000">
        <w:rPr>
          <w:rFonts w:ascii="Inter" w:cs="Inter" w:eastAsia="Inter" w:hAnsi="Inter"/>
          <w:b w:val="1"/>
          <w:sz w:val="19"/>
          <w:szCs w:val="19"/>
          <w:rtl w:val="0"/>
        </w:rPr>
        <w:t xml:space="preserve">Considerando que a lei em questão </w:t>
      </w:r>
      <w:r w:rsidDel="00000000" w:rsidR="00000000" w:rsidRPr="00000000">
        <w:rPr>
          <w:rFonts w:ascii="Inter" w:cs="Inter" w:eastAsia="Inter" w:hAnsi="Inter"/>
          <w:b w:val="1"/>
          <w:i w:val="1"/>
          <w:sz w:val="19"/>
          <w:szCs w:val="19"/>
          <w:rtl w:val="0"/>
        </w:rPr>
        <w:t xml:space="preserve">não</w:t>
      </w:r>
      <w:r w:rsidDel="00000000" w:rsidR="00000000" w:rsidRPr="00000000">
        <w:rPr>
          <w:rFonts w:ascii="Inter" w:cs="Inter" w:eastAsia="Inter" w:hAnsi="Inter"/>
          <w:b w:val="1"/>
          <w:sz w:val="19"/>
          <w:szCs w:val="19"/>
          <w:rtl w:val="0"/>
        </w:rPr>
        <w:t xml:space="preserve"> estabelece quaisquer comandos em prol da criação e extinção de Secretarias e órgãos públicos municipais, sequer da alteração das atribuições de órgãos da Administração Pública e/ou do regime jurídico e remuneratório dos servidores municipais, </w:t>
      </w:r>
      <w:r w:rsidDel="00000000" w:rsidR="00000000" w:rsidRPr="00000000">
        <w:rPr>
          <w:rFonts w:ascii="Inter" w:cs="Inter" w:eastAsia="Inter" w:hAnsi="Inter"/>
          <w:b w:val="1"/>
          <w:i w:val="1"/>
          <w:sz w:val="19"/>
          <w:szCs w:val="19"/>
          <w:rtl w:val="0"/>
        </w:rPr>
        <w:t xml:space="preserve">não</w:t>
      </w:r>
      <w:r w:rsidDel="00000000" w:rsidR="00000000" w:rsidRPr="00000000">
        <w:rPr>
          <w:rFonts w:ascii="Inter" w:cs="Inter" w:eastAsia="Inter" w:hAnsi="Inter"/>
          <w:b w:val="1"/>
          <w:sz w:val="19"/>
          <w:szCs w:val="19"/>
          <w:rtl w:val="0"/>
        </w:rPr>
        <w:t xml:space="preserve"> há falar em inconstitucionalidade formal por vício de iniciativa, contrariamente ao que defende o Prefeito do Município de Goiânia-GO</w:t>
      </w:r>
      <w:r w:rsidDel="00000000" w:rsidR="00000000" w:rsidRPr="00000000">
        <w:rPr>
          <w:rFonts w:ascii="Inter" w:cs="Inter" w:eastAsia="Inter" w:hAnsi="Inter"/>
          <w:sz w:val="19"/>
          <w:szCs w:val="19"/>
          <w:rtl w:val="0"/>
        </w:rPr>
        <w:t xml:space="preserve">. AÇÃO DIRETA DE INCONSTITUCIONALIDADE JULGADA IMPROCEDENTE. (Ação Direta de Inconstitucionalidade </w:t>
      </w:r>
      <w:r w:rsidDel="00000000" w:rsidR="00000000" w:rsidRPr="00000000">
        <w:rPr>
          <w:rFonts w:ascii="Inter" w:cs="Inter" w:eastAsia="Inter" w:hAnsi="Inter"/>
          <w:sz w:val="18"/>
          <w:szCs w:val="18"/>
          <w:rtl w:val="0"/>
        </w:rPr>
        <w:t xml:space="preserve">5603694-45.2022.8.09.0000, Relator: GUILHERME GUTEMBERG ISAC PINTO)</w:t>
      </w:r>
    </w:p>
    <w:p w:rsidR="00000000" w:rsidDel="00000000" w:rsidP="00000000" w:rsidRDefault="00000000" w:rsidRPr="00000000" w14:paraId="00000029">
      <w:pPr>
        <w:ind w:left="3401.5748031496064" w:firstLine="0"/>
        <w:jc w:val="both"/>
        <w:rPr>
          <w:rFonts w:ascii="Inter" w:cs="Inter" w:eastAsia="Inter" w:hAnsi="Inter"/>
          <w:sz w:val="19"/>
          <w:szCs w:val="19"/>
        </w:rPr>
      </w:pPr>
      <w:r w:rsidDel="00000000" w:rsidR="00000000" w:rsidRPr="00000000">
        <w:rPr>
          <w:rtl w:val="0"/>
        </w:rPr>
      </w:r>
    </w:p>
    <w:p w:rsidR="00000000" w:rsidDel="00000000" w:rsidP="00000000" w:rsidRDefault="00000000" w:rsidRPr="00000000" w14:paraId="0000002A">
      <w:pPr>
        <w:ind w:left="3401.5748031496064" w:firstLine="0"/>
        <w:jc w:val="both"/>
        <w:rPr>
          <w:rFonts w:ascii="Inter" w:cs="Inter" w:eastAsia="Inter" w:hAnsi="Inter"/>
          <w:sz w:val="19"/>
          <w:szCs w:val="19"/>
        </w:rPr>
      </w:pPr>
      <w:r w:rsidDel="00000000" w:rsidR="00000000" w:rsidRPr="00000000">
        <w:rPr>
          <w:rtl w:val="0"/>
        </w:rPr>
      </w:r>
    </w:p>
    <w:p w:rsidR="00000000" w:rsidDel="00000000" w:rsidP="00000000" w:rsidRDefault="00000000" w:rsidRPr="00000000" w14:paraId="0000002B">
      <w:pPr>
        <w:spacing w:line="276" w:lineRule="auto"/>
        <w:ind w:firstLine="708.6614173228347"/>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No mesmo voto supracitado o nobre desembargador cita diretamente excerto de parecer do </w:t>
      </w:r>
      <w:r w:rsidDel="00000000" w:rsidR="00000000" w:rsidRPr="00000000">
        <w:rPr>
          <w:rFonts w:ascii="Inter" w:cs="Inter" w:eastAsia="Inter" w:hAnsi="Inter"/>
          <w:sz w:val="23"/>
          <w:szCs w:val="23"/>
          <w:highlight w:val="white"/>
          <w:rtl w:val="0"/>
        </w:rPr>
        <w:t xml:space="preserve">Subprocuradoria-Geral de Justiça para Assuntos Jurídicos do Ministério Público de Goiás</w:t>
      </w:r>
      <w:r w:rsidDel="00000000" w:rsidR="00000000" w:rsidRPr="00000000">
        <w:rPr>
          <w:rFonts w:ascii="Inter" w:cs="Inter" w:eastAsia="Inter" w:hAnsi="Inter"/>
          <w:sz w:val="23"/>
          <w:szCs w:val="23"/>
          <w:rtl w:val="0"/>
        </w:rPr>
        <w:t xml:space="preserve">, juntado aos mesmos autos: </w:t>
      </w:r>
      <w:r w:rsidDel="00000000" w:rsidR="00000000" w:rsidRPr="00000000">
        <w:rPr>
          <w:rFonts w:ascii="Inter" w:cs="Inter" w:eastAsia="Inter" w:hAnsi="Inter"/>
          <w:b w:val="1"/>
          <w:sz w:val="23"/>
          <w:szCs w:val="23"/>
          <w:rtl w:val="0"/>
        </w:rPr>
        <w:t xml:space="preserve">“o fato de a lei originada do Legislativo dispor sobre políticas públicas a serem implementadas pelo Prefeito, gerando, inclusive, aumento de despesas para os cofres públicos, não caracteriza, por si só, violação à ‘reserva de iniciativa’”, </w:t>
      </w:r>
      <w:r w:rsidDel="00000000" w:rsidR="00000000" w:rsidRPr="00000000">
        <w:rPr>
          <w:rFonts w:ascii="Inter" w:cs="Inter" w:eastAsia="Inter" w:hAnsi="Inter"/>
          <w:sz w:val="23"/>
          <w:szCs w:val="23"/>
          <w:rtl w:val="0"/>
        </w:rPr>
        <w:t xml:space="preserve">referindo-se diretamente ao tema nº 917 do STF, o que demonstra a harmoniosa costura jurisprudencial. Consideremos mais algumas decisões, em mesmo sentido:</w:t>
      </w:r>
    </w:p>
    <w:p w:rsidR="00000000" w:rsidDel="00000000" w:rsidP="00000000" w:rsidRDefault="00000000" w:rsidRPr="00000000" w14:paraId="0000002C">
      <w:pPr>
        <w:spacing w:line="276"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2D">
      <w:pPr>
        <w:ind w:left="2267.716535433071" w:firstLine="0"/>
        <w:jc w:val="both"/>
        <w:rPr>
          <w:rFonts w:ascii="Inter" w:cs="Inter" w:eastAsia="Inter" w:hAnsi="Inter"/>
          <w:sz w:val="19"/>
          <w:szCs w:val="19"/>
        </w:rPr>
      </w:pPr>
      <w:r w:rsidDel="00000000" w:rsidR="00000000" w:rsidRPr="00000000">
        <w:rPr>
          <w:rFonts w:ascii="Inter" w:cs="Inter" w:eastAsia="Inter" w:hAnsi="Inter"/>
          <w:sz w:val="19"/>
          <w:szCs w:val="19"/>
          <w:rtl w:val="0"/>
        </w:rPr>
        <w:t xml:space="preserve">AÇÃO DIRETA DE INCONSTITUCIONALIDADE EM FACE DOS ARTIGOS 1º, INCISOS I A V E PARÁGRAFO ÚNICO; 6º, PARÁGRAFO ÚNICO; 11, CAPUT; E 13, PARÁGRAFO ÚNICO, TODOS DA LEI COMPLEMENTAR N. 345/2021, DE GOIÂNIA, QUE ESTABELECE NORMAS SOBRE O PROGRAMA DE HORTAS COMUNITÁRIAS E COMPOSTAGEM. INCONSTITUCIONALIDADE FORMAL NÃO CARACTERIZADA. I - </w:t>
      </w:r>
      <w:r w:rsidDel="00000000" w:rsidR="00000000" w:rsidRPr="00000000">
        <w:rPr>
          <w:rFonts w:ascii="Inter" w:cs="Inter" w:eastAsia="Inter" w:hAnsi="Inter"/>
          <w:b w:val="1"/>
          <w:sz w:val="19"/>
          <w:szCs w:val="19"/>
          <w:rtl w:val="0"/>
        </w:rPr>
        <w:t xml:space="preserve">Não viola a reserva de iniciativa prevista no artigo 77, inciso V, da Constituição Estadual, nem o princípio da separação dos poderes</w:t>
      </w:r>
      <w:r w:rsidDel="00000000" w:rsidR="00000000" w:rsidRPr="00000000">
        <w:rPr>
          <w:rFonts w:ascii="Inter" w:cs="Inter" w:eastAsia="Inter" w:hAnsi="Inter"/>
          <w:sz w:val="19"/>
          <w:szCs w:val="19"/>
          <w:rtl w:val="0"/>
        </w:rPr>
        <w:t xml:space="preserve">, lei municipal de iniciativa parlamentar que apenas cria Programa de Hortas Comunitárias e Compostagem, </w:t>
      </w:r>
      <w:r w:rsidDel="00000000" w:rsidR="00000000" w:rsidRPr="00000000">
        <w:rPr>
          <w:rFonts w:ascii="Inter" w:cs="Inter" w:eastAsia="Inter" w:hAnsi="Inter"/>
          <w:b w:val="1"/>
          <w:sz w:val="19"/>
          <w:szCs w:val="19"/>
          <w:rtl w:val="0"/>
        </w:rPr>
        <w:t xml:space="preserve">sem dispor sobre servidores públicos e seu regime jurídico, criação e extinção de secretarias e órgãos públicos municipais, além de não interferir nas atribuições do Chefe do Poder Executivo municipal</w:t>
      </w:r>
      <w:r w:rsidDel="00000000" w:rsidR="00000000" w:rsidRPr="00000000">
        <w:rPr>
          <w:rFonts w:ascii="Inter" w:cs="Inter" w:eastAsia="Inter" w:hAnsi="Inter"/>
          <w:sz w:val="19"/>
          <w:szCs w:val="19"/>
          <w:rtl w:val="0"/>
        </w:rPr>
        <w:t xml:space="preserve">. II - Segundo a tese vinculante firmada no Tema 917, pelo STF, aplicável à situação sub judice: ‘Não usurpa competência privativa do Chefe do Poder Executivo lei que, embora crie despesa para a Administração, não trata da sua estrutura ou da atribuição de seus órgãos nem do regime jurídico de servidores públicos’. III - Ausente o vício de inconstitucionalidade formal apontado, impõe-se a improcedência do pedido. AÇÃO DIRETA DE INCONSTITUCIONALIDADE IMPROCEDENTE. (TJGO, PROCESSO CÍVEL E DO TRABALHO -&gt; Processo de Conhecimento -&gt; Procedimento de Conhecimento -&gt; Procedimentos Especiais -&gt; Procedimentos Regidos por Outros Códigos, Leis Esparsas e Regimentos -&gt; Direta de Inconstitucionalidade 5328658- 78.2022.8.09.0000, Rel. Des(a). DESEMBARGADOR AMARAL WILSON DE OLIVEIRA, Órgão Especial, julgado em 25/11/2022, DJe de 25/11/2022)</w:t>
      </w:r>
    </w:p>
    <w:p w:rsidR="00000000" w:rsidDel="00000000" w:rsidP="00000000" w:rsidRDefault="00000000" w:rsidRPr="00000000" w14:paraId="0000002E">
      <w:pPr>
        <w:ind w:left="2267.716535433071" w:firstLine="0"/>
        <w:jc w:val="both"/>
        <w:rPr>
          <w:rFonts w:ascii="Inter" w:cs="Inter" w:eastAsia="Inter" w:hAnsi="Inter"/>
          <w:sz w:val="19"/>
          <w:szCs w:val="19"/>
        </w:rPr>
      </w:pPr>
      <w:r w:rsidDel="00000000" w:rsidR="00000000" w:rsidRPr="00000000">
        <w:rPr>
          <w:rFonts w:ascii="Inter" w:cs="Inter" w:eastAsia="Inter" w:hAnsi="Inter"/>
          <w:sz w:val="19"/>
          <w:szCs w:val="19"/>
          <w:rtl w:val="0"/>
        </w:rPr>
        <w:t xml:space="preserve">AÇÃO DIRETA DE INCONSTITUCIONALIDADE. LEI MUNICIPAL. INSTITUIÇÃO DE POLÍTICA DE PREVENÇÃO À VIOLÊNCIA CONTRA EDUCADORES. COMPETÊNCIA DO PREFEITO. VÍCIO DE INICIATIVA. AUSÊNCIA. TEMA 917 DA REPERCUSSÃO GERAL. IMPROCEDÊNCIA. 1. No âmbito da repartição de competências, a reserva de iniciativa legislativa do Chefe do Poder Executivo se atém, em geral, à disciplina dos servidores públicos e seu regime jurídico; da criação e extinção de secretarias e órgãos públicos; e das atribuições e estrutura da Administração Pública. 2. A lei municipal de iniciativa legislativa que trata da política de prevenção à violência contra educadores, </w:t>
      </w:r>
      <w:r w:rsidDel="00000000" w:rsidR="00000000" w:rsidRPr="00000000">
        <w:rPr>
          <w:rFonts w:ascii="Inter" w:cs="Inter" w:eastAsia="Inter" w:hAnsi="Inter"/>
          <w:b w:val="1"/>
          <w:sz w:val="19"/>
          <w:szCs w:val="19"/>
          <w:rtl w:val="0"/>
        </w:rPr>
        <w:t xml:space="preserve">embora gere eventual despesa à Administração, não viola a reserva de iniciativa do Prefeito Municipal, porquanto não altera de modo substancial a disciplina da Administração Pública, seus órgãos e agentes</w:t>
      </w:r>
      <w:r w:rsidDel="00000000" w:rsidR="00000000" w:rsidRPr="00000000">
        <w:rPr>
          <w:rFonts w:ascii="Inter" w:cs="Inter" w:eastAsia="Inter" w:hAnsi="Inter"/>
          <w:sz w:val="19"/>
          <w:szCs w:val="19"/>
          <w:rtl w:val="0"/>
        </w:rPr>
        <w:t xml:space="preserve">, mas sim efetiva, no âmbito da competência suplementar (CF/88, art. 24, IX c/c 30, II), o direito à educação (CE/GO, art. 156, § 1º, incisos II, V, e VII e § 2º), revelando assim, a sua compatibilidade material com o disposto art. 77 da Constituição do Estado de Goiás, em simetria com o artigo 61, § 1º, II, ‘b’, da CF/88. AÇÃO DIRETA DE INCONSTITUCIONALIDADE JULGADA IMPROCEDENTE. MEDIDA CAUTELAR REVOGADA. (TJGO, SUPREMO TRIBUNAL FEDERAL -&gt; Ação Direta de Inconstitucionalidade 5178317-11.2020.8.09.0000, Rel. Des(a). DESEMBARGADOR DELINTRO BELO DE ALMEIDA FILHO, Órgão Especial, julgado em 27/05/2022, DJe de 27/05/2022)</w:t>
      </w:r>
    </w:p>
    <w:p w:rsidR="00000000" w:rsidDel="00000000" w:rsidP="00000000" w:rsidRDefault="00000000" w:rsidRPr="00000000" w14:paraId="0000002F">
      <w:pPr>
        <w:ind w:left="0" w:firstLine="0"/>
        <w:jc w:val="both"/>
        <w:rPr>
          <w:rFonts w:ascii="Inter" w:cs="Inter" w:eastAsia="Inter" w:hAnsi="Inter"/>
          <w:sz w:val="19"/>
          <w:szCs w:val="19"/>
        </w:rPr>
      </w:pPr>
      <w:r w:rsidDel="00000000" w:rsidR="00000000" w:rsidRPr="00000000">
        <w:rPr>
          <w:rtl w:val="0"/>
        </w:rPr>
      </w:r>
    </w:p>
    <w:p w:rsidR="00000000" w:rsidDel="00000000" w:rsidP="00000000" w:rsidRDefault="00000000" w:rsidRPr="00000000" w14:paraId="00000030">
      <w:pPr>
        <w:ind w:left="2267.716535433071" w:firstLine="0"/>
        <w:jc w:val="both"/>
        <w:rPr>
          <w:rFonts w:ascii="Inter" w:cs="Inter" w:eastAsia="Inter" w:hAnsi="Inter"/>
          <w:sz w:val="19"/>
          <w:szCs w:val="19"/>
        </w:rPr>
      </w:pPr>
      <w:r w:rsidDel="00000000" w:rsidR="00000000" w:rsidRPr="00000000">
        <w:rPr>
          <w:rtl w:val="0"/>
        </w:rPr>
      </w:r>
    </w:p>
    <w:p w:rsidR="00000000" w:rsidDel="00000000" w:rsidP="00000000" w:rsidRDefault="00000000" w:rsidRPr="00000000" w14:paraId="00000031">
      <w:pPr>
        <w:ind w:left="2267.716535433071" w:firstLine="0"/>
        <w:jc w:val="both"/>
        <w:rPr>
          <w:rFonts w:ascii="Inter" w:cs="Inter" w:eastAsia="Inter" w:hAnsi="Inter"/>
          <w:sz w:val="23"/>
          <w:szCs w:val="23"/>
        </w:rPr>
      </w:pPr>
      <w:r w:rsidDel="00000000" w:rsidR="00000000" w:rsidRPr="00000000">
        <w:rPr>
          <w:rFonts w:ascii="Inter" w:cs="Inter" w:eastAsia="Inter" w:hAnsi="Inter"/>
          <w:sz w:val="19"/>
          <w:szCs w:val="19"/>
          <w:rtl w:val="0"/>
        </w:rPr>
        <w:t xml:space="preserve">AÇÃO DIRETA DE INCONSTITUCIONALIDADE. LEI N. 10.489/2020, QUE INSTITUIU O PROGRAMA DE INCENTIVO À PRÁTICA DE FUTEBOL FEMININO NO MUNICÍPIO DE GOIÂNIA. MATÉRIA DE INTERESSE LOCAL. TEMA 917/STF. INCONSTITUCIONALIDADE FORMAL NÃO CARACTERIZADA. 1. Não viola a reserva de iniciativa prevista no artigo 77, inciso V, da Constituição Estadual, nem o princípio da separação dos poderes, lei municipal de iniciativa parlamentar que </w:t>
      </w:r>
      <w:r w:rsidDel="00000000" w:rsidR="00000000" w:rsidRPr="00000000">
        <w:rPr>
          <w:rFonts w:ascii="Inter" w:cs="Inter" w:eastAsia="Inter" w:hAnsi="Inter"/>
          <w:b w:val="1"/>
          <w:sz w:val="19"/>
          <w:szCs w:val="19"/>
          <w:rtl w:val="0"/>
        </w:rPr>
        <w:t xml:space="preserve">apenas cria programa social de incentivo ao esporte, sem dispor sobre servidores públicos e seu regime jurídico, criação e extinção de secretarias e órgãos públicos municipais, além de não interferir nas atribuições do Chefe do Poder Executivo municipal</w:t>
      </w:r>
      <w:r w:rsidDel="00000000" w:rsidR="00000000" w:rsidRPr="00000000">
        <w:rPr>
          <w:rFonts w:ascii="Inter" w:cs="Inter" w:eastAsia="Inter" w:hAnsi="Inter"/>
          <w:sz w:val="19"/>
          <w:szCs w:val="19"/>
          <w:rtl w:val="0"/>
        </w:rPr>
        <w:t xml:space="preserve">. 2. Esse é o caso da Lei Municipal n. 10.489/2020 que, ao instituir o Programa de Incentivo à Prática de Futebol Feminino, com foco na promoção de torneios, campeonatos, eventos e destinação de espaço para a prática da modalidade esportiva, está a implementar, ainda que de forma oblíqua, o desporto, o lazer, a promoção da saúde, a inclusão da mulher e o seu desenvolvimento educacional, matérias essas que se qualificam como de interesse local, e, nessa condição, estão inseridas na competência legislativa do ente municipal (arts. 23, V, c/c art. 30, I e II, da CF), </w:t>
      </w:r>
      <w:r w:rsidDel="00000000" w:rsidR="00000000" w:rsidRPr="00000000">
        <w:rPr>
          <w:rFonts w:ascii="Inter" w:cs="Inter" w:eastAsia="Inter" w:hAnsi="Inter"/>
          <w:b w:val="1"/>
          <w:sz w:val="19"/>
          <w:szCs w:val="19"/>
          <w:rtl w:val="0"/>
        </w:rPr>
        <w:t xml:space="preserve">não caracterizando hipótese afeta à iniciativa privativa do Chefe do Poder Executivo local.</w:t>
      </w:r>
      <w:r w:rsidDel="00000000" w:rsidR="00000000" w:rsidRPr="00000000">
        <w:rPr>
          <w:rFonts w:ascii="Inter" w:cs="Inter" w:eastAsia="Inter" w:hAnsi="Inter"/>
          <w:sz w:val="19"/>
          <w:szCs w:val="19"/>
          <w:rtl w:val="0"/>
        </w:rPr>
        <w:t xml:space="preserve"> 3. Segundo a tese vinculante firmada no Tema 917, pelo STF, aplicável à situação sub judice: “Não usurpa competência privativa do Chefe do Poder Executivo lei que, embora crie despesa para a Administração, não trata da sua estrutura ou da atribuição de seus órgãos nem do regime jurídico de servidores públicos (?)”. 4. </w:t>
      </w:r>
      <w:r w:rsidDel="00000000" w:rsidR="00000000" w:rsidRPr="00000000">
        <w:rPr>
          <w:rFonts w:ascii="Inter" w:cs="Inter" w:eastAsia="Inter" w:hAnsi="Inter"/>
          <w:b w:val="1"/>
          <w:sz w:val="19"/>
          <w:szCs w:val="19"/>
          <w:rtl w:val="0"/>
        </w:rPr>
        <w:t xml:space="preserve">Ausente o vício de inconstitucionalidade formal apontado, impõe-se a improcedência do pedido. </w:t>
      </w:r>
      <w:r w:rsidDel="00000000" w:rsidR="00000000" w:rsidRPr="00000000">
        <w:rPr>
          <w:rFonts w:ascii="Inter" w:cs="Inter" w:eastAsia="Inter" w:hAnsi="Inter"/>
          <w:sz w:val="19"/>
          <w:szCs w:val="19"/>
          <w:rtl w:val="0"/>
        </w:rPr>
        <w:t xml:space="preserve">(Ação Direta de Inconstitucionalidade 5668260-71.2020.8.09.0000, Rel. Des. ZACARIAS NEVES COELHO, Órgão Especial, DJe de 15/12/2021)</w:t>
      </w:r>
      <w:r w:rsidDel="00000000" w:rsidR="00000000" w:rsidRPr="00000000">
        <w:rPr>
          <w:rtl w:val="0"/>
        </w:rPr>
      </w:r>
    </w:p>
    <w:p w:rsidR="00000000" w:rsidDel="00000000" w:rsidP="00000000" w:rsidRDefault="00000000" w:rsidRPr="00000000" w14:paraId="00000032">
      <w:pPr>
        <w:spacing w:line="240"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33">
      <w:pPr>
        <w:spacing w:line="276" w:lineRule="auto"/>
        <w:ind w:firstLine="708.6614173228347"/>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No que tange às alegações de que o presente projeto </w:t>
      </w:r>
      <w:r w:rsidDel="00000000" w:rsidR="00000000" w:rsidRPr="00000000">
        <w:rPr>
          <w:rFonts w:ascii="Roboto" w:cs="Roboto" w:eastAsia="Roboto" w:hAnsi="Roboto"/>
          <w:color w:val="212529"/>
          <w:rtl w:val="0"/>
        </w:rPr>
        <w:t xml:space="preserve">dispõe sobre a organização administrativa, serviços e pessoal, além de criar obrigações aos órgãos  e entidades da Administração Pública Municipal e gastos ao erário público</w:t>
      </w:r>
      <w:r w:rsidDel="00000000" w:rsidR="00000000" w:rsidRPr="00000000">
        <w:rPr>
          <w:rFonts w:ascii="Inter" w:cs="Inter" w:eastAsia="Inter" w:hAnsi="Inter"/>
          <w:sz w:val="23"/>
          <w:szCs w:val="23"/>
          <w:rtl w:val="0"/>
        </w:rPr>
        <w:t xml:space="preserve">, e, por isso, não pode prosperar, com fulcro no art. 54, IV e V da LOMA, tomemos por exemplo contrário o PLO 002/2022 de autoria da Vereadora Thaís Souza, que </w:t>
      </w:r>
      <w:r w:rsidDel="00000000" w:rsidR="00000000" w:rsidRPr="00000000">
        <w:rPr>
          <w:rFonts w:ascii="Roboto" w:cs="Roboto" w:eastAsia="Roboto" w:hAnsi="Roboto"/>
          <w:color w:val="212529"/>
          <w:rtl w:val="0"/>
        </w:rPr>
        <w:t xml:space="preserve">“disponibiliza, por meio da rede municipal de saúde e bem estar animal, atendimento veterinário itinerante para avaliar e tratar animais comunitários e animais de estimação tutelados por pessoas de baixa renda”, aprovado aos 15 de março de 2023, e que conta com parecer favorável da CCJR apesar de, evidentemente, dispor sobre a organização administrativa, serviços e pessoal da administração, bem como criar obrigações os órgãos  e entidades da Administração Pública Municipal e gastos do erário público. Assim, a menos que haja, de fato, “dois pesos e duas medidas" nesta Casa de Leis, devemos verificar uma uniformidade nas ponderações das Comissões, especialmente na CCJR.</w:t>
      </w:r>
      <w:r w:rsidDel="00000000" w:rsidR="00000000" w:rsidRPr="00000000">
        <w:rPr>
          <w:rtl w:val="0"/>
        </w:rPr>
      </w:r>
    </w:p>
    <w:p w:rsidR="00000000" w:rsidDel="00000000" w:rsidP="00000000" w:rsidRDefault="00000000" w:rsidRPr="00000000" w14:paraId="00000034">
      <w:pPr>
        <w:spacing w:line="276" w:lineRule="auto"/>
        <w:ind w:firstLine="708.6614173228347"/>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Além disso, me adianto e afirmo: não prospera o argumento de que tais informações já se encontram públicas em meios digitais como o Portal de Transparência ou Diário Oficial do Município, pois, de modo geral, eles passam despercebidos do cidadão médio em seu cotidiano.</w:t>
      </w:r>
    </w:p>
    <w:p w:rsidR="00000000" w:rsidDel="00000000" w:rsidP="00000000" w:rsidRDefault="00000000" w:rsidRPr="00000000" w14:paraId="00000035">
      <w:pPr>
        <w:spacing w:line="276" w:lineRule="auto"/>
        <w:ind w:firstLine="540"/>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Assim, assegura-se a moralidade nas relações público-privadas, político-populares, por con</w:t>
      </w:r>
      <w:r w:rsidDel="00000000" w:rsidR="00000000" w:rsidRPr="00000000">
        <w:rPr>
          <w:rFonts w:ascii="Inter" w:cs="Inter" w:eastAsia="Inter" w:hAnsi="Inter"/>
          <w:sz w:val="23"/>
          <w:szCs w:val="23"/>
          <w:vertAlign w:val="baseline"/>
          <w:rtl w:val="0"/>
        </w:rPr>
        <w:t xml:space="preserve">tribuir para com a transparência no trato da coisa pública e que, portanto, haverá de merecer todo o apoio e a anuência dos nobres pares para sua urgente e necessária aprovação.</w:t>
      </w:r>
      <w:r w:rsidDel="00000000" w:rsidR="00000000" w:rsidRPr="00000000">
        <w:rPr>
          <w:rtl w:val="0"/>
        </w:rPr>
      </w:r>
    </w:p>
    <w:p w:rsidR="00000000" w:rsidDel="00000000" w:rsidP="00000000" w:rsidRDefault="00000000" w:rsidRPr="00000000" w14:paraId="00000036">
      <w:pPr>
        <w:spacing w:line="276" w:lineRule="auto"/>
        <w:ind w:firstLine="540"/>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37">
      <w:pPr>
        <w:spacing w:line="240" w:lineRule="auto"/>
        <w:ind w:firstLine="540"/>
        <w:jc w:val="both"/>
        <w:rPr>
          <w:rFonts w:ascii="Inter" w:cs="Inter" w:eastAsia="Inter" w:hAnsi="Inter"/>
          <w:sz w:val="23"/>
          <w:szCs w:val="23"/>
        </w:rPr>
      </w:pPr>
      <w:r w:rsidDel="00000000" w:rsidR="00000000" w:rsidRPr="00000000">
        <w:rPr>
          <w:rFonts w:ascii="Inter" w:cs="Inter" w:eastAsia="Inter" w:hAnsi="Inter"/>
          <w:sz w:val="23"/>
          <w:szCs w:val="23"/>
          <w:rtl w:val="0"/>
        </w:rPr>
        <w:t xml:space="preserve">Câmara Municipal de Anápolis, 31 de março de 2023.</w:t>
      </w:r>
    </w:p>
    <w:p w:rsidR="00000000" w:rsidDel="00000000" w:rsidP="00000000" w:rsidRDefault="00000000" w:rsidRPr="00000000" w14:paraId="00000038">
      <w:pPr>
        <w:spacing w:line="240"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39">
      <w:pPr>
        <w:spacing w:line="240"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3A">
      <w:pPr>
        <w:spacing w:line="240" w:lineRule="auto"/>
        <w:jc w:val="both"/>
        <w:rPr>
          <w:rFonts w:ascii="Inter" w:cs="Inter" w:eastAsia="Inter" w:hAnsi="Inter"/>
          <w:sz w:val="23"/>
          <w:szCs w:val="23"/>
        </w:rPr>
      </w:pPr>
      <w:r w:rsidDel="00000000" w:rsidR="00000000" w:rsidRPr="00000000">
        <w:rPr>
          <w:rtl w:val="0"/>
        </w:rPr>
      </w:r>
    </w:p>
    <w:p w:rsidR="00000000" w:rsidDel="00000000" w:rsidP="00000000" w:rsidRDefault="00000000" w:rsidRPr="00000000" w14:paraId="0000003B">
      <w:pPr>
        <w:spacing w:line="240" w:lineRule="auto"/>
        <w:jc w:val="center"/>
        <w:rPr>
          <w:rFonts w:ascii="Inter" w:cs="Inter" w:eastAsia="Inter" w:hAnsi="Inter"/>
          <w:b w:val="1"/>
          <w:sz w:val="23"/>
          <w:szCs w:val="23"/>
        </w:rPr>
      </w:pPr>
      <w:r w:rsidDel="00000000" w:rsidR="00000000" w:rsidRPr="00000000">
        <w:rPr>
          <w:rFonts w:ascii="Inter" w:cs="Inter" w:eastAsia="Inter" w:hAnsi="Inter"/>
          <w:b w:val="1"/>
          <w:sz w:val="23"/>
          <w:szCs w:val="23"/>
          <w:rtl w:val="0"/>
        </w:rPr>
        <w:t xml:space="preserve">POLICIAL FEDERAL SUENDER</w:t>
      </w:r>
    </w:p>
    <w:p w:rsidR="00000000" w:rsidDel="00000000" w:rsidP="00000000" w:rsidRDefault="00000000" w:rsidRPr="00000000" w14:paraId="0000003C">
      <w:pPr>
        <w:spacing w:line="240" w:lineRule="auto"/>
        <w:jc w:val="center"/>
        <w:rPr>
          <w:rFonts w:ascii="Inter" w:cs="Inter" w:eastAsia="Inter" w:hAnsi="Inter"/>
          <w:sz w:val="23"/>
          <w:szCs w:val="23"/>
        </w:rPr>
      </w:pPr>
      <w:r w:rsidDel="00000000" w:rsidR="00000000" w:rsidRPr="00000000">
        <w:rPr>
          <w:rFonts w:ascii="Inter" w:cs="Inter" w:eastAsia="Inter" w:hAnsi="Inter"/>
          <w:sz w:val="23"/>
          <w:szCs w:val="23"/>
          <w:rtl w:val="0"/>
        </w:rPr>
        <w:t xml:space="preserve">Vereador - PRTB</w:t>
      </w:r>
      <w:r w:rsidDel="00000000" w:rsidR="00000000" w:rsidRPr="00000000">
        <w:rPr>
          <w:rtl w:val="0"/>
        </w:rPr>
      </w:r>
    </w:p>
    <w:sectPr>
      <w:pgSz w:h="16838" w:w="11906" w:orient="portrait"/>
      <w:pgMar w:bottom="1700.7874015748032" w:top="2551.181102362205" w:left="1303.9370078740158" w:right="1303.93700787401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orpodetexto3">
    <w:name w:val="Corpo de texto 3"/>
    <w:basedOn w:val="Normal"/>
    <w:next w:val="Corpodetexto3"/>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w w:val="100"/>
      <w:position w:val="-1"/>
      <w:sz w:val="28"/>
      <w:szCs w:val="20"/>
      <w:effect w:val="none"/>
      <w:vertAlign w:val="baseline"/>
      <w:cs w:val="0"/>
      <w:em w:val="none"/>
      <w:lang w:bidi="ar-SA" w:eastAsia="pt-BR" w:val="pt-BR"/>
    </w:rPr>
  </w:style>
  <w:style w:type="character" w:styleId="Corpodetexto3Char">
    <w:name w:val="Corpo de texto 3 Char"/>
    <w:next w:val="Corpodetexto3Char"/>
    <w:autoRedefine w:val="0"/>
    <w:hidden w:val="0"/>
    <w:qFormat w:val="0"/>
    <w:rPr>
      <w:rFonts w:ascii="Times New Roman" w:cs="Times New Roman" w:eastAsia="Times New Roman" w:hAnsi="Times New Roman"/>
      <w:b w:val="1"/>
      <w:w w:val="100"/>
      <w:position w:val="-1"/>
      <w:sz w:val="28"/>
      <w:szCs w:val="20"/>
      <w:effect w:val="none"/>
      <w:vertAlign w:val="baseline"/>
      <w:cs w:val="0"/>
      <w:em w:val="none"/>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E/1RDW55Ei7O+9QFwtemJapgVw==">AMUW2mWl9gHyOTxi85DfTuOmAxmngzXzgA3+Ti02zC/Uded4/9HTtFDxoRS05c91ylyVHJ6Sc578SBCOds58Wu3gcAY8AaqgHDsW5inXwgVJXQQczj4sKsc=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2016-03-19T19:22:00Z</dcterms:created>
  <dc:creator>Usuário</dc:creator>
</cp:coreProperties>
</file>